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200"/>
        <w:jc w:val="center"/>
      </w:pPr>
      <w:r>
        <w:rPr>
          <w:b/>
          <w:bCs/>
          <w:color w:val="0F766E"/>
          <w:sz w:val="40"/>
          <w:szCs w:val="40"/>
        </w:rPr>
        <w:t xml:space="preserve">SLP SmartNote &amp; Clinical Documentation Workstation</w:t>
      </w:r>
    </w:p>
    <w:p>
      <w:pPr>
        <w:spacing w:after="300"/>
        <w:jc w:val="center"/>
      </w:pPr>
      <w:r>
        <w:rPr>
          <w:b/>
          <w:bCs/>
          <w:color w:val="334155"/>
          <w:sz w:val="24"/>
          <w:szCs w:val="24"/>
        </w:rPr>
        <w:t xml:space="preserve">CLINICIAN OPERATING MANUAL &amp; WORKFLOW GUIDE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0D9488" w:sz="8"/>
              <w:left w:val="single" w:color="0D9488" w:sz="8"/>
              <w:bottom w:val="single" w:color="0D9488" w:sz="8"/>
              <w:right w:val="single" w:color="0D9488" w:sz="8"/>
            </w:tcBorders>
            <w:shd w:fill="F0FDFA" w:val="clear"/>
            <w:tcMar>
              <w:top w:type="dxa" w:w="180"/>
              <w:left w:type="dxa" w:w="240"/>
              <w:bottom w:type="dxa" w:w="180"/>
              <w:right w:type="dxa" w:w="240"/>
            </w:tcMar>
          </w:tcPr>
          <w:p>
            <w:r>
              <w:rPr>
                <w:b/>
                <w:bCs/>
                <w:color w:val="0F766E"/>
                <w:sz w:val="22"/>
                <w:szCs w:val="22"/>
              </w:rPr>
              <w:t xml:space="preserve">Licensed Clinician: </w:t>
            </w:r>
            <w:r>
              <w:rPr>
                <w:b/>
                <w:bCs/>
                <w:color w:val="1E293B"/>
                <w:sz w:val="22"/>
                <w:szCs w:val="22"/>
              </w:rPr>
              <w:t xml:space="preserve">Martha Bynum MS, CCC-SLP
</w:t>
            </w:r>
            <w:r>
              <w:rPr>
                <w:b/>
                <w:bCs/>
                <w:color w:val="0F766E"/>
                <w:sz w:val="20"/>
                <w:szCs w:val="20"/>
              </w:rPr>
              <w:t xml:space="preserve">Public Marketing Portal: </w:t>
            </w:r>
            <w:r>
              <w:rPr>
                <w:color w:val="2563EB"/>
                <w:sz w:val="20"/>
                <w:szCs w:val="20"/>
              </w:rPr>
              <w:t xml:space="preserve">https://slpcopilot.com/ (Powered by LearnTek Labs)
</w:t>
            </w:r>
            <w:r>
              <w:rPr>
                <w:b/>
                <w:bCs/>
                <w:color w:val="0F766E"/>
                <w:sz w:val="20"/>
                <w:szCs w:val="20"/>
              </w:rPr>
              <w:t xml:space="preserve">System Release: </w:t>
            </w:r>
            <w:r>
              <w:rPr>
                <w:color w:val="334155"/>
                <w:sz w:val="20"/>
                <w:szCs w:val="20"/>
              </w:rPr>
              <w:t xml:space="preserve">SLP Copilot v2.4 (Enterprise SLP Workstation with Gemini 2.5 AI Assistant)
</w:t>
            </w:r>
            <w:r>
              <w:rPr>
                <w:b/>
                <w:bCs/>
                <w:color w:val="0F766E"/>
                <w:sz w:val="20"/>
                <w:szCs w:val="20"/>
              </w:rPr>
              <w:t xml:space="preserve">Compliance Standard: </w:t>
            </w:r>
            <w:r>
              <w:rPr>
                <w:color w:val="166534"/>
                <w:sz w:val="20"/>
                <w:szCs w:val="20"/>
              </w:rPr>
              <w:t xml:space="preserve">HIPAA &amp; FERPA De-Identified Client-Side Guardrail Architecture</w:t>
            </w:r>
          </w:p>
        </w:tc>
      </w:tr>
    </w:tbl>
    <w:p>
      <w:pPr>
        <w:spacing w:after="100" w:before="300"/>
      </w:pPr>
    </w:p>
    <w:p>
      <w:pPr>
        <w:pStyle w:val="Heading1"/>
        <w:spacing w:after="120" w:before="240"/>
      </w:pPr>
      <w:r>
        <w:rPr>
          <w:b/>
          <w:bCs/>
          <w:color w:val="0F766E"/>
          <w:sz w:val="28"/>
          <w:szCs w:val="28"/>
        </w:rPr>
        <w:t xml:space="preserve">1. Welcome &amp; Clinical Purpose</w:t>
      </w:r>
    </w:p>
    <w:p>
      <w:pPr>
        <w:spacing w:after="160"/>
      </w:pPr>
      <w:r>
        <w:rPr>
          <w:color w:val="334155"/>
          <w:sz w:val="22"/>
          <w:szCs w:val="22"/>
        </w:rPr>
        <w:t xml:space="preserve">Welcome, Martha! This application was crafted specifically for your clinical practice as a certified Speech-Language Pathologist (MS, CCC-SLP). Our singular goal is to eliminate documentation fatigue while simultaneously elevating note quality, audit readiness, and IEP data integrity.</w:t>
      </w:r>
    </w:p>
    <w:p>
      <w:pPr>
        <w:spacing w:after="160"/>
      </w:pPr>
      <w:r>
        <w:rPr>
          <w:color w:val="334155"/>
          <w:sz w:val="22"/>
          <w:szCs w:val="22"/>
        </w:rPr>
        <w:t xml:space="preserve">Traditional speech therapy documentation requires juggling physical trial clickers, paper tally sheets, and lengthy late-evening typing sessions. The SLP SmartNote Workstation brings live trial counts, automatic percentage calculations, cueing hierarchy tracking, and Gemini AI assistance into one unified workspace.</w:t>
      </w:r>
    </w:p>
    <w:p>
      <w:pPr>
        <w:pStyle w:val="Heading1"/>
        <w:spacing w:after="120" w:before="240"/>
      </w:pPr>
      <w:r>
        <w:rPr>
          <w:b/>
          <w:bCs/>
          <w:color w:val="0F766E"/>
          <w:sz w:val="28"/>
          <w:szCs w:val="28"/>
        </w:rPr>
        <w:t xml:space="preserve">2. Core Capabilities at a Glance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shd w:fill="0F766E" w:val="clear"/>
            <w:tcMar>
              <w:top w:type="dxa" w:w="120"/>
              <w:left w:type="dxa" w:w="160"/>
              <w:bottom w:type="dxa" w:w="120"/>
              <w:right w:type="dxa" w:w="160"/>
            </w:tcMar>
          </w:tcPr>
          <w:p>
            <w:r>
              <w:rPr>
                <w:b/>
                <w:bCs/>
                <w:color w:val="FFFFFF"/>
                <w:sz w:val="20"/>
                <w:szCs w:val="20"/>
              </w:rPr>
              <w:t xml:space="preserve">Feature Module</w:t>
            </w:r>
          </w:p>
        </w:tc>
        <w:tc>
          <w:tcPr>
            <w:shd w:fill="0F766E" w:val="clear"/>
            <w:tcMar>
              <w:top w:type="dxa" w:w="120"/>
              <w:left w:type="dxa" w:w="160"/>
              <w:bottom w:type="dxa" w:w="120"/>
              <w:right w:type="dxa" w:w="160"/>
            </w:tcMar>
          </w:tcPr>
          <w:p>
            <w:r>
              <w:rPr>
                <w:b/>
                <w:bCs/>
                <w:color w:val="FFFFFF"/>
                <w:sz w:val="20"/>
                <w:szCs w:val="20"/>
              </w:rPr>
              <w:t xml:space="preserve">What it Does for Martha Bynum MS, CCC-SLP</w:t>
            </w:r>
          </w:p>
        </w:tc>
      </w:tr>
      <w:tr>
        <w:tc>
          <w:tcPr>
            <w:tcMar>
              <w:top w:type="dxa" w:w="120"/>
              <w:left w:type="dxa" w:w="160"/>
              <w:bottom w:type="dxa" w:w="120"/>
              <w:right w:type="dxa" w:w="160"/>
            </w:tcMar>
          </w:tcPr>
          <w:p>
            <w:r>
              <w:rPr>
                <w:b/>
                <w:bCs/>
                <w:sz w:val="20"/>
                <w:szCs w:val="20"/>
              </w:rPr>
              <w:t xml:space="preserve">Live Guided Notes</w:t>
            </w:r>
          </w:p>
        </w:tc>
        <w:tc>
          <w:tcPr>
            <w:tcMar>
              <w:top w:type="dxa" w:w="120"/>
              <w:left w:type="dxa" w:w="160"/>
              <w:bottom w:type="dxa" w:w="120"/>
              <w:right w:type="dxa" w:w="160"/>
            </w:tcMar>
          </w:tcPr>
          <w:p>
            <w:r>
              <w:rPr>
                <w:sz w:val="20"/>
                <w:szCs w:val="20"/>
              </w:rPr>
              <w:t xml:space="preserve">Tap-to-record correct/incorrect trials with real-time percentage and cue level attribution (Indep, Min, Mod, Max).</w:t>
            </w:r>
          </w:p>
        </w:tc>
      </w:tr>
      <w:tr>
        <w:tc>
          <w:tcPr>
            <w:shd w:fill="F8FAFC" w:val="clear"/>
            <w:tcMar>
              <w:top w:type="dxa" w:w="120"/>
              <w:left w:type="dxa" w:w="160"/>
              <w:bottom w:type="dxa" w:w="120"/>
              <w:right w:type="dxa" w:w="160"/>
            </w:tcMar>
          </w:tcPr>
          <w:p>
            <w:r>
              <w:rPr>
                <w:b/>
                <w:bCs/>
                <w:sz w:val="20"/>
                <w:szCs w:val="20"/>
              </w:rPr>
              <w:t xml:space="preserve">Auto SOAP Builder</w:t>
            </w:r>
          </w:p>
        </w:tc>
        <w:tc>
          <w:tcPr>
            <w:shd w:fill="F8FAFC" w:val="clear"/>
            <w:tcMar>
              <w:top w:type="dxa" w:w="120"/>
              <w:left w:type="dxa" w:w="160"/>
              <w:bottom w:type="dxa" w:w="120"/>
              <w:right w:type="dxa" w:w="160"/>
            </w:tcMar>
          </w:tcPr>
          <w:p>
            <w:r>
              <w:rPr>
                <w:sz w:val="20"/>
                <w:szCs w:val="20"/>
              </w:rPr>
              <w:t xml:space="preserve">Transfers trial statistics directly into the Objective section of your SOAP note with 100% calculation accuracy.</w:t>
            </w:r>
          </w:p>
        </w:tc>
      </w:tr>
      <w:tr>
        <w:tc>
          <w:tcPr>
            <w:tcMar>
              <w:top w:type="dxa" w:w="120"/>
              <w:left w:type="dxa" w:w="160"/>
              <w:bottom w:type="dxa" w:w="120"/>
              <w:right w:type="dxa" w:w="160"/>
            </w:tcMar>
          </w:tcPr>
          <w:p>
            <w:r>
              <w:rPr>
                <w:b/>
                <w:bCs/>
                <w:sz w:val="20"/>
                <w:szCs w:val="20"/>
              </w:rPr>
              <w:t xml:space="preserve">Gemini AI Assistant</w:t>
            </w:r>
          </w:p>
        </w:tc>
        <w:tc>
          <w:tcPr>
            <w:tcMar>
              <w:top w:type="dxa" w:w="120"/>
              <w:left w:type="dxa" w:w="160"/>
              <w:bottom w:type="dxa" w:w="120"/>
              <w:right w:type="dxa" w:w="160"/>
            </w:tcMar>
          </w:tcPr>
          <w:p>
            <w:r>
              <w:rPr>
                <w:sz w:val="20"/>
                <w:szCs w:val="20"/>
              </w:rPr>
              <w:t xml:space="preserve">Refines rough clinical shorthand into professional prose, checks IEP measurability, checks phonetics spelling, and creates target stimuli.</w:t>
            </w:r>
          </w:p>
        </w:tc>
      </w:tr>
      <w:tr>
        <w:tc>
          <w:tcPr>
            <w:shd w:fill="F8FAFC" w:val="clear"/>
            <w:tcMar>
              <w:top w:type="dxa" w:w="120"/>
              <w:left w:type="dxa" w:w="160"/>
              <w:bottom w:type="dxa" w:w="120"/>
              <w:right w:type="dxa" w:w="160"/>
            </w:tcMar>
          </w:tcPr>
          <w:p>
            <w:r>
              <w:rPr>
                <w:b/>
                <w:bCs/>
                <w:sz w:val="20"/>
                <w:szCs w:val="20"/>
              </w:rPr>
              <w:t xml:space="preserve">Client-Side PHI Shield</w:t>
            </w:r>
          </w:p>
        </w:tc>
        <w:tc>
          <w:tcPr>
            <w:shd w:fill="F8FAFC" w:val="clear"/>
            <w:tcMar>
              <w:top w:type="dxa" w:w="120"/>
              <w:left w:type="dxa" w:w="160"/>
              <w:bottom w:type="dxa" w:w="120"/>
              <w:right w:type="dxa" w:w="160"/>
            </w:tcMar>
          </w:tcPr>
          <w:p>
            <w:r>
              <w:rPr>
                <w:sz w:val="20"/>
                <w:szCs w:val="20"/>
              </w:rPr>
              <w:t xml:space="preserve">Automatically strips student names and protected health identifiers in browser memory before sending text to the AI endpoint.</w:t>
            </w:r>
          </w:p>
        </w:tc>
      </w:tr>
      <w:tr>
        <w:tc>
          <w:tcPr>
            <w:tcMar>
              <w:top w:type="dxa" w:w="120"/>
              <w:left w:type="dxa" w:w="160"/>
              <w:bottom w:type="dxa" w:w="120"/>
              <w:right w:type="dxa" w:w="160"/>
            </w:tcMar>
          </w:tcPr>
          <w:p>
            <w:r>
              <w:rPr>
                <w:b/>
                <w:bCs/>
                <w:sz w:val="20"/>
                <w:szCs w:val="20"/>
              </w:rPr>
              <w:t xml:space="preserve">Agency Portal Export</w:t>
            </w:r>
          </w:p>
        </w:tc>
        <w:tc>
          <w:tcPr>
            <w:tcMar>
              <w:top w:type="dxa" w:w="120"/>
              <w:left w:type="dxa" w:w="160"/>
              <w:bottom w:type="dxa" w:w="120"/>
              <w:right w:type="dxa" w:w="160"/>
            </w:tcMar>
          </w:tcPr>
          <w:p>
            <w:r>
              <w:rPr>
                <w:sz w:val="20"/>
                <w:szCs w:val="20"/>
              </w:rPr>
              <w:t xml:space="preserve">Export notes for Medicaid billing, School District IEP reviews, printable PDF charts, or rapid clipboard paste.</w:t>
            </w:r>
          </w:p>
        </w:tc>
      </w:tr>
    </w:tbl>
    <w:p>
      <w:pPr>
        <w:pStyle w:val="Heading1"/>
        <w:spacing w:after="120" w:before="300"/>
      </w:pPr>
      <w:r>
        <w:rPr>
          <w:b/>
          <w:bCs/>
          <w:color w:val="0F766E"/>
          <w:sz w:val="28"/>
          <w:szCs w:val="28"/>
        </w:rPr>
        <w:t xml:space="preserve">3. Step-by-Step Therapy Workflow</w:t>
      </w:r>
    </w:p>
    <w:p>
      <w:pPr>
        <w:pStyle w:val="Heading2"/>
        <w:spacing w:after="80" w:before="180"/>
      </w:pPr>
      <w:r>
        <w:rPr>
          <w:b/>
          <w:bCs/>
          <w:color w:val="1E293B"/>
          <w:sz w:val="24"/>
          <w:szCs w:val="24"/>
        </w:rPr>
        <w:t xml:space="preserve">Step 1: Caseload &amp; Student Selection</w:t>
      </w:r>
    </w:p>
    <w:p>
      <w:pPr>
        <w:spacing w:after="140"/>
      </w:pPr>
      <w:r>
        <w:rPr>
          <w:color w:val="334155"/>
          <w:sz w:val="22"/>
          <w:szCs w:val="22"/>
        </w:rPr>
        <w:t xml:space="preserve">Navigate to the "Students" tab or click "Start Session Note". Select the student you are currently treating. The workstation instantly displays their active IEP goals, diagnostic classification, and target benchmark thresholds.</w:t>
      </w:r>
    </w:p>
    <w:p>
      <w:pPr>
        <w:pStyle w:val="Heading2"/>
        <w:spacing w:after="80" w:before="180"/>
      </w:pPr>
      <w:r>
        <w:rPr>
          <w:b/>
          <w:bCs/>
          <w:color w:val="1E293B"/>
          <w:sz w:val="24"/>
          <w:szCs w:val="24"/>
        </w:rPr>
        <w:t xml:space="preserve">Step 2: Real-Time Trial Tracking (Guided Workspace)</w:t>
      </w:r>
    </w:p>
    <w:p>
      <w:pPr>
        <w:spacing w:after="140"/>
      </w:pPr>
      <w:r>
        <w:rPr>
          <w:color w:val="334155"/>
          <w:sz w:val="22"/>
          <w:szCs w:val="22"/>
        </w:rPr>
        <w:t xml:space="preserve">During the therapy activity (e.g., flashcard drill, articulation game, story retelling), use the large touch-friendly buttons to record correct (+) or incorrect (-) production. Select the level of cueing provided: Independent, Minimal, Moderate, or Maximal. The system updates running percentages continuously.</w:t>
      </w:r>
    </w:p>
    <w:p>
      <w:pPr>
        <w:pStyle w:val="Heading2"/>
        <w:spacing w:after="80" w:before="180"/>
      </w:pPr>
      <w:r>
        <w:rPr>
          <w:b/>
          <w:bCs/>
          <w:color w:val="1E293B"/>
          <w:sz w:val="24"/>
          <w:szCs w:val="24"/>
        </w:rPr>
        <w:t xml:space="preserve">Step 3: Generating and Formatting the SOAP Note</w:t>
      </w:r>
    </w:p>
    <w:p>
      <w:pPr>
        <w:spacing w:after="140"/>
      </w:pPr>
      <w:r>
        <w:rPr>
          <w:color w:val="334155"/>
          <w:sz w:val="22"/>
          <w:szCs w:val="22"/>
        </w:rPr>
        <w:t xml:space="preserve">Review the auto-populated Objective section. Enter brief observations for Subjective (student mood, participation), Assessment (therapeutic analysis of performance), and Plan (homework and upcoming targets).</w:t>
      </w:r>
    </w:p>
    <w:p>
      <w:pPr>
        <w:pStyle w:val="Heading2"/>
        <w:spacing w:after="80" w:before="180"/>
      </w:pPr>
      <w:r>
        <w:rPr>
          <w:b/>
          <w:bCs/>
          <w:color w:val="1E293B"/>
          <w:sz w:val="24"/>
          <w:szCs w:val="24"/>
        </w:rPr>
        <w:t xml:space="preserve">Step 4: Using the AI Clinical Documentation Assistant</w:t>
      </w:r>
    </w:p>
    <w:p>
      <w:pPr>
        <w:spacing w:after="140"/>
      </w:pPr>
      <w:r>
        <w:rPr>
          <w:color w:val="334155"/>
          <w:sz w:val="22"/>
          <w:szCs w:val="22"/>
        </w:rPr>
        <w:t xml:space="preserve">Click the "AI Assistant" button in the top navigation bar or the "Refine with AI" button beside the narrative box. Choose from preset actions:
• Refine Clinical Tone: Upgrades conversational notes to authoritative, insurance-ready terminology.
• Fix Spelling &amp; SLP Terms: Validates complex phonological and anatomical terminology.
• Expand to SOAP: Takes bullet points and constructs a 4-part SOAP note.
• Check IEP Goal Measurability: Ensures criteria, percentages, and conditions comply with IDEA guidelines.
• Stimulus Generator: Generates targeted word lists and sentences for speech practice.
Review the side-by-side comparison. Click "Apply to Note" to instantly adopt the refined draft.</w:t>
      </w:r>
    </w:p>
    <w:p>
      <w:pPr>
        <w:pStyle w:val="Heading2"/>
        <w:spacing w:after="80" w:before="180"/>
      </w:pPr>
      <w:r>
        <w:rPr>
          <w:b/>
          <w:bCs/>
          <w:color w:val="1E293B"/>
          <w:sz w:val="24"/>
          <w:szCs w:val="24"/>
        </w:rPr>
        <w:t xml:space="preserve">Step 5: Electronic Signature &amp; Export</w:t>
      </w:r>
    </w:p>
    <w:p>
      <w:pPr>
        <w:spacing w:after="140"/>
      </w:pPr>
      <w:r>
        <w:rPr>
          <w:color w:val="334155"/>
          <w:sz w:val="22"/>
          <w:szCs w:val="22"/>
        </w:rPr>
        <w:t xml:space="preserve">When complete, click "Approve &amp; Lock Note". The note is stamped with Martha Bynum MS, CCC-SLP, locked against modifications, and saved to the student record. Use the "Agency Export" tool to print or transmit to billing portals.</w:t>
      </w:r>
    </w:p>
    <w:p>
      <w:pPr>
        <w:pStyle w:val="Heading1"/>
        <w:spacing w:after="120" w:before="300"/>
      </w:pPr>
      <w:r>
        <w:rPr>
          <w:b/>
          <w:bCs/>
          <w:color w:val="0F766E"/>
          <w:sz w:val="28"/>
          <w:szCs w:val="28"/>
        </w:rPr>
        <w:t xml:space="preserve">4. Privacy, HIPAA, and FERPA Compliance</w:t>
      </w:r>
    </w:p>
    <w:p>
      <w:pPr>
        <w:spacing w:after="140"/>
      </w:pPr>
      <w:r>
        <w:rPr>
          <w:color w:val="334155"/>
          <w:sz w:val="22"/>
          <w:szCs w:val="22"/>
        </w:rPr>
        <w:t xml:space="preserve">The platform strictly adheres to clinical privacy guidelines. All personal identifiers (names, birthdates, IDs) are de-identified locally in your web browser before interacting with AI services. Data is re-identified only inside your authenticated browser session. No student data is retained or used to train AI models.</w:t>
      </w:r>
    </w:p>
    <w:p>
      <w:pPr>
        <w:pStyle w:val="Heading1"/>
        <w:spacing w:after="120" w:before="300"/>
      </w:pPr>
      <w:r>
        <w:rPr>
          <w:b/>
          <w:bCs/>
          <w:color w:val="0F766E"/>
          <w:sz w:val="28"/>
          <w:szCs w:val="28"/>
        </w:rPr>
        <w:t xml:space="preserve">5. Clinical Resources &amp; Portal Access</w:t>
      </w:r>
    </w:p>
    <w:p>
      <w:pPr>
        <w:spacing w:after="140"/>
      </w:pPr>
      <w:r>
        <w:rPr>
          <w:color w:val="334155"/>
          <w:sz w:val="22"/>
          <w:szCs w:val="22"/>
        </w:rPr>
        <w:t xml:space="preserve">The public website and resources portal is available at:
URL: https://slpcopilot.com/
This portal provides clinical service overviews, IEP tracking demonstrations, and client access for schools, clinics, and families.</w:t>
      </w:r>
    </w:p>
    <w:p>
      <w:pPr>
        <w:pStyle w:val="Heading1"/>
        <w:spacing w:after="120" w:before="300"/>
      </w:pPr>
      <w:r>
        <w:rPr>
          <w:b/>
          <w:bCs/>
          <w:color w:val="0F766E"/>
          <w:sz w:val="28"/>
          <w:szCs w:val="28"/>
        </w:rPr>
        <w:t xml:space="preserve">6. Support &amp; Feedback</w:t>
      </w:r>
    </w:p>
    <w:p>
      <w:pPr>
        <w:spacing w:after="140"/>
      </w:pPr>
      <w:r>
        <w:rPr>
          <w:color w:val="334155"/>
          <w:sz w:val="22"/>
          <w:szCs w:val="22"/>
        </w:rPr>
        <w:t xml:space="preserve">For updates, customizations, or feature requests, contact the LearnTek Labs systems team. Keep a copy of this manual in your records or in LibreOffice Writer for ongoing updates.</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94A3B8"/>
        <w:sz w:val="16"/>
        <w:szCs w:val="16"/>
      </w:rPr>
      <w:t xml:space="preserve">LearnTek Labs • http://slp.learntek-labs.com/ • Confidential Clinical Documentation</w:t>
    </w:r>
    <w:r>
      <w:rPr>
        <w:color w:val="94A3B8"/>
        <w:sz w:val="16"/>
        <w:szCs w:val="16"/>
      </w:rPr>
      <w:t xml:space="preserve">   | Page </w:t>
    </w:r>
    <w:r>
      <w:rPr>
        <w:b/>
        <w:bCs/>
        <w:color w:val="0D9488"/>
        <w:sz w:val="16"/>
        <w:szCs w:val="16"/>
      </w:rPr>
      <w:fldChar w:fldCharType="begin"/>
    </w:r>
    <w:r>
      <w:rPr>
        <w:b/>
        <w:bCs/>
        <w:color w:val="0D9488"/>
        <w:sz w:val="16"/>
        <w:szCs w:val="16"/>
      </w:rPr>
      <w:instrText xml:space="preserve">PAGE</w:instrText>
    </w:r>
    <w:r>
      <w:rPr>
        <w:b/>
        <w:bCs/>
        <w:color w:val="0D9488"/>
        <w:sz w:val="16"/>
        <w:szCs w:val="16"/>
      </w:rPr>
      <w:fldChar w:fldCharType="separate"/>
    </w:r>
    <w:r>
      <w:rPr>
        <w:b/>
        <w:bCs/>
        <w:color w:val="0D9488"/>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64748B"/>
        <w:sz w:val="18"/>
        <w:szCs w:val="18"/>
      </w:rPr>
      <w:t xml:space="preserve">SLP SmartNote Studio | Clinician Guide: Martha Bynum MS, CCC-SLP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Clinician User Guide - Martha Bynum MS, CCC-SLP</dc:title>
  <dc:creator>LearnTek Labs</dc:creator>
  <dc:description>Comprehensive documentation and operating guide for SLP SmartNote Clinical Workstation</dc:description>
  <cp:lastModifiedBy>Un-named</cp:lastModifiedBy>
  <cp:revision>1</cp:revision>
  <dcterms:created xsi:type="dcterms:W3CDTF">2026-10-18T05:09:10.224Z</dcterms:created>
  <dcterms:modified xsi:type="dcterms:W3CDTF">2026-10-18T05:09:10.224Z</dcterms:modified>
</cp:coreProperties>
</file>

<file path=docProps/custom.xml><?xml version="1.0" encoding="utf-8"?>
<Properties xmlns="http://schemas.openxmlformats.org/officeDocument/2006/custom-properties" xmlns:vt="http://schemas.openxmlformats.org/officeDocument/2006/docPropsVTypes"/>
</file>